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3CC0" w:rsidRPr="004C070E" w:rsidRDefault="009C3CC0" w:rsidP="009C3CC0">
      <w:pPr>
        <w:jc w:val="center"/>
        <w:rPr>
          <w:b/>
        </w:rPr>
      </w:pPr>
      <w:r w:rsidRPr="004C070E">
        <w:rPr>
          <w:b/>
        </w:rPr>
        <w:t>COMCEC Task Force on Market Development</w:t>
      </w:r>
    </w:p>
    <w:p w:rsidR="00D704AC" w:rsidRPr="009C3CC0" w:rsidRDefault="009C3CC0" w:rsidP="009C3CC0">
      <w:pPr>
        <w:jc w:val="center"/>
        <w:rPr>
          <w:b/>
          <w:u w:val="single"/>
        </w:rPr>
      </w:pPr>
      <w:r w:rsidRPr="004C070E">
        <w:rPr>
          <w:b/>
          <w:u w:val="single"/>
        </w:rPr>
        <w:t>Terms of Reference</w:t>
      </w:r>
    </w:p>
    <w:p w:rsidR="007C2571" w:rsidRPr="009C3CC0" w:rsidRDefault="00BF31B3" w:rsidP="00BF31B3">
      <w:pPr>
        <w:jc w:val="both"/>
        <w:rPr>
          <w:b/>
          <w:u w:val="single"/>
        </w:rPr>
      </w:pPr>
      <w:r w:rsidRPr="00BF31B3">
        <w:tab/>
      </w:r>
      <w:r w:rsidRPr="00BF31B3">
        <w:tab/>
      </w:r>
      <w:r w:rsidRPr="00BF31B3">
        <w:tab/>
      </w:r>
      <w:r w:rsidR="007C2571" w:rsidRPr="009C3CC0">
        <w:rPr>
          <w:b/>
          <w:u w:val="single"/>
        </w:rPr>
        <w:t>Transparency Requirements-Public Disclosure Systems</w:t>
      </w:r>
    </w:p>
    <w:p w:rsidR="00BF31B3" w:rsidRPr="00BF31B3" w:rsidRDefault="00BF31B3" w:rsidP="00DB613A">
      <w:pPr>
        <w:jc w:val="both"/>
        <w:rPr>
          <w:b/>
        </w:rPr>
      </w:pPr>
      <w:r w:rsidRPr="00BF31B3">
        <w:rPr>
          <w:b/>
        </w:rPr>
        <w:t>Background</w:t>
      </w:r>
    </w:p>
    <w:p w:rsidR="007C2571" w:rsidRDefault="00D64F07" w:rsidP="00DB613A">
      <w:pPr>
        <w:jc w:val="both"/>
      </w:pPr>
      <w:r>
        <w:t xml:space="preserve">Transparency and disclosure are </w:t>
      </w:r>
      <w:r w:rsidR="00FA3B19">
        <w:t xml:space="preserve">the two most </w:t>
      </w:r>
      <w:r w:rsidR="007C2571">
        <w:t xml:space="preserve">fundamental </w:t>
      </w:r>
      <w:r>
        <w:t xml:space="preserve">requirements for ensuring sustainable </w:t>
      </w:r>
      <w:r w:rsidR="007C2571">
        <w:t>market development</w:t>
      </w:r>
      <w:r w:rsidR="00FA3B19">
        <w:t xml:space="preserve"> and maintaining the confidence of the investors</w:t>
      </w:r>
      <w:r w:rsidR="007C2571">
        <w:t xml:space="preserve">. Regulations should pave the way for development of markets by providing a market disclosure environment </w:t>
      </w:r>
      <w:r w:rsidR="00FA3B19">
        <w:t xml:space="preserve">that </w:t>
      </w:r>
      <w:r w:rsidR="007C2571">
        <w:t>ensure</w:t>
      </w:r>
      <w:r w:rsidR="00FA3B19">
        <w:t>s</w:t>
      </w:r>
      <w:r w:rsidR="007C2571">
        <w:t xml:space="preserve"> </w:t>
      </w:r>
      <w:r w:rsidR="00FA3B19">
        <w:t xml:space="preserve">specific, timely, and comprehensive disclosures that enable </w:t>
      </w:r>
      <w:r w:rsidR="007C2571">
        <w:t xml:space="preserve">concurrent and equal flow </w:t>
      </w:r>
      <w:r w:rsidR="00FA3B19">
        <w:t xml:space="preserve">of information </w:t>
      </w:r>
      <w:r w:rsidR="007C2571">
        <w:t>to all market participants. Re</w:t>
      </w:r>
      <w:r w:rsidR="00AD397D">
        <w:t xml:space="preserve">gulation should also ensure </w:t>
      </w:r>
      <w:r w:rsidR="007C2571">
        <w:t xml:space="preserve">market discipline </w:t>
      </w:r>
      <w:r w:rsidR="00AD397D">
        <w:t>and transparency which is a key element towards</w:t>
      </w:r>
      <w:r w:rsidR="007C2571">
        <w:t xml:space="preserve"> establish</w:t>
      </w:r>
      <w:r w:rsidR="00AD397D">
        <w:t>ing</w:t>
      </w:r>
      <w:r w:rsidR="007C2571">
        <w:t xml:space="preserve"> and maintain</w:t>
      </w:r>
      <w:r w:rsidR="00AD397D">
        <w:t>ing</w:t>
      </w:r>
      <w:r w:rsidR="00BF31B3">
        <w:t xml:space="preserve"> investor </w:t>
      </w:r>
      <w:r w:rsidR="00605FE3">
        <w:t>confidence</w:t>
      </w:r>
      <w:r w:rsidR="00BF31B3">
        <w:t>.</w:t>
      </w:r>
    </w:p>
    <w:p w:rsidR="007C2571" w:rsidRDefault="007C2571" w:rsidP="00DB613A">
      <w:pPr>
        <w:jc w:val="both"/>
      </w:pPr>
      <w:r>
        <w:t xml:space="preserve">A central public disclosure system for use by investors in stocks and corporate bonds is particularly important. Web-based electronic disclosure platform for disclosing ad-hoc information, quarterly and annual reports via the system is useful for investors and market participants. </w:t>
      </w:r>
    </w:p>
    <w:p w:rsidR="007C2571" w:rsidRDefault="007C2571" w:rsidP="00DB613A">
      <w:pPr>
        <w:jc w:val="both"/>
      </w:pPr>
      <w:r>
        <w:t xml:space="preserve">Regulatory framework and technical </w:t>
      </w:r>
      <w:r w:rsidR="00AD397D">
        <w:t xml:space="preserve">as well as technological </w:t>
      </w:r>
      <w:r>
        <w:t xml:space="preserve">infrastructure for comprehensive, relevant and timely information collection and dissemination </w:t>
      </w:r>
      <w:r w:rsidR="00D64F07">
        <w:t xml:space="preserve">of </w:t>
      </w:r>
      <w:r>
        <w:t xml:space="preserve">transactions in financial institutions are particularly relevant. </w:t>
      </w:r>
    </w:p>
    <w:p w:rsidR="007C2571" w:rsidRDefault="007C2571" w:rsidP="0084268D">
      <w:pPr>
        <w:jc w:val="both"/>
      </w:pPr>
      <w:r>
        <w:t>Besides, non-financial disclosure (corporate governance structures and practices</w:t>
      </w:r>
      <w:r w:rsidR="005B6DB9">
        <w:t>, education</w:t>
      </w:r>
      <w:r>
        <w:t xml:space="preserve"> and professional experience of board members, key executives, total and individual remuneration of directors and key executives) also contributes to the tra</w:t>
      </w:r>
      <w:r w:rsidR="005B6DB9">
        <w:t>nsparency level of the markets.</w:t>
      </w:r>
    </w:p>
    <w:p w:rsidR="00BF31B3" w:rsidRPr="00BF31B3" w:rsidRDefault="00BF31B3" w:rsidP="0084268D">
      <w:pPr>
        <w:jc w:val="both"/>
        <w:rPr>
          <w:b/>
        </w:rPr>
      </w:pPr>
      <w:r w:rsidRPr="00BF31B3">
        <w:rPr>
          <w:b/>
        </w:rPr>
        <w:t>Objectives</w:t>
      </w:r>
    </w:p>
    <w:p w:rsidR="007C2FD0" w:rsidRDefault="00B35123" w:rsidP="007C2FD0">
      <w:pPr>
        <w:jc w:val="both"/>
      </w:pPr>
      <w:r>
        <w:t>The mandate amongst other things will focus on</w:t>
      </w:r>
      <w:r w:rsidR="00D81610">
        <w:t>:</w:t>
      </w:r>
    </w:p>
    <w:p w:rsidR="007C2FD0" w:rsidRDefault="00AD397D" w:rsidP="007C2FD0">
      <w:pPr>
        <w:pStyle w:val="ListeParagraf"/>
        <w:numPr>
          <w:ilvl w:val="0"/>
          <w:numId w:val="7"/>
        </w:numPr>
        <w:jc w:val="both"/>
      </w:pPr>
      <w:r>
        <w:t>The use of technology to enhance transparency and aid public disclosure</w:t>
      </w:r>
      <w:r w:rsidR="007C2571">
        <w:t xml:space="preserve"> </w:t>
      </w:r>
      <w:r w:rsidR="004F5E2B">
        <w:t xml:space="preserve"> and issues it creates in the context of confidentiality requirements</w:t>
      </w:r>
      <w:r w:rsidR="00AA3AA0">
        <w:t xml:space="preserve"> and accuracy of the information disseminated</w:t>
      </w:r>
    </w:p>
    <w:p w:rsidR="007C2FD0" w:rsidRPr="005541BA" w:rsidRDefault="00B35123" w:rsidP="007C2FD0">
      <w:pPr>
        <w:pStyle w:val="ListeParagraf"/>
        <w:numPr>
          <w:ilvl w:val="0"/>
          <w:numId w:val="7"/>
        </w:numPr>
        <w:jc w:val="both"/>
      </w:pPr>
      <w:r w:rsidRPr="007C2FD0">
        <w:rPr>
          <w:color w:val="000000"/>
        </w:rPr>
        <w:t xml:space="preserve">Disclosure requirements at the </w:t>
      </w:r>
      <w:r w:rsidR="00D81610" w:rsidRPr="007C2FD0">
        <w:rPr>
          <w:color w:val="000000"/>
        </w:rPr>
        <w:t>time of Initial Public Offering</w:t>
      </w:r>
    </w:p>
    <w:p w:rsidR="005541BA" w:rsidRDefault="005541BA" w:rsidP="007C2FD0">
      <w:pPr>
        <w:pStyle w:val="ListeParagraf"/>
        <w:numPr>
          <w:ilvl w:val="0"/>
          <w:numId w:val="7"/>
        </w:numPr>
        <w:jc w:val="both"/>
      </w:pPr>
      <w:r>
        <w:rPr>
          <w:color w:val="000000"/>
        </w:rPr>
        <w:t>Disclosure requirements pertaining to Asset Management Companies</w:t>
      </w:r>
    </w:p>
    <w:p w:rsidR="007C2FD0" w:rsidRDefault="00B35123" w:rsidP="007C2FD0">
      <w:pPr>
        <w:pStyle w:val="ListeParagraf"/>
        <w:numPr>
          <w:ilvl w:val="0"/>
          <w:numId w:val="7"/>
        </w:numPr>
        <w:jc w:val="both"/>
      </w:pPr>
      <w:r w:rsidRPr="007C2FD0">
        <w:rPr>
          <w:color w:val="000000"/>
        </w:rPr>
        <w:t>Material disclosures requirements in account</w:t>
      </w:r>
      <w:r w:rsidR="00AD397D" w:rsidRPr="007C2FD0">
        <w:rPr>
          <w:color w:val="000000"/>
        </w:rPr>
        <w:t>s</w:t>
      </w:r>
      <w:r w:rsidR="00D81610" w:rsidRPr="007C2FD0">
        <w:rPr>
          <w:color w:val="000000"/>
        </w:rPr>
        <w:t xml:space="preserve"> of the companies</w:t>
      </w:r>
    </w:p>
    <w:p w:rsidR="007C2FD0" w:rsidRDefault="00B35123" w:rsidP="007C2FD0">
      <w:pPr>
        <w:pStyle w:val="ListeParagraf"/>
        <w:numPr>
          <w:ilvl w:val="0"/>
          <w:numId w:val="7"/>
        </w:numPr>
        <w:jc w:val="both"/>
      </w:pPr>
      <w:r w:rsidRPr="007C2FD0">
        <w:rPr>
          <w:color w:val="000000"/>
        </w:rPr>
        <w:t xml:space="preserve">Requirements regarding timely disclosure of </w:t>
      </w:r>
      <w:r w:rsidR="00D81610" w:rsidRPr="007C2FD0">
        <w:rPr>
          <w:color w:val="000000"/>
        </w:rPr>
        <w:t>material non-public information</w:t>
      </w:r>
    </w:p>
    <w:p w:rsidR="007C2FD0" w:rsidRDefault="00B35123" w:rsidP="007C2FD0">
      <w:pPr>
        <w:pStyle w:val="ListeParagraf"/>
        <w:numPr>
          <w:ilvl w:val="0"/>
          <w:numId w:val="7"/>
        </w:numPr>
        <w:jc w:val="both"/>
      </w:pPr>
      <w:r w:rsidRPr="007C2FD0">
        <w:rPr>
          <w:color w:val="000000"/>
        </w:rPr>
        <w:t>Requirements regarding disclosures at the time of or prior to trading (by directo</w:t>
      </w:r>
      <w:r w:rsidR="00D81610" w:rsidRPr="007C2FD0">
        <w:rPr>
          <w:color w:val="000000"/>
        </w:rPr>
        <w:t>r, sponsors or related parties)</w:t>
      </w:r>
    </w:p>
    <w:p w:rsidR="007C2FD0" w:rsidRDefault="00786F2B" w:rsidP="007C2FD0">
      <w:pPr>
        <w:pStyle w:val="ListeParagraf"/>
        <w:numPr>
          <w:ilvl w:val="0"/>
          <w:numId w:val="7"/>
        </w:numPr>
        <w:jc w:val="both"/>
      </w:pPr>
      <w:r w:rsidRPr="00786F2B">
        <w:t>International and national disclosure and transparency standards</w:t>
      </w:r>
    </w:p>
    <w:p w:rsidR="007C2FD0" w:rsidRDefault="001B14E9" w:rsidP="007C2FD0">
      <w:pPr>
        <w:pStyle w:val="ListeParagraf"/>
        <w:numPr>
          <w:ilvl w:val="0"/>
          <w:numId w:val="7"/>
        </w:numPr>
        <w:jc w:val="both"/>
      </w:pPr>
      <w:r>
        <w:t>Benefits</w:t>
      </w:r>
      <w:r w:rsidR="00BC3D7D">
        <w:t xml:space="preserve"> of a central public disclosure system</w:t>
      </w:r>
    </w:p>
    <w:p w:rsidR="00786F2B" w:rsidRPr="00786F2B" w:rsidRDefault="00BE0858" w:rsidP="007C2FD0">
      <w:pPr>
        <w:pStyle w:val="ListeParagraf"/>
        <w:numPr>
          <w:ilvl w:val="0"/>
          <w:numId w:val="7"/>
        </w:numPr>
        <w:jc w:val="both"/>
      </w:pPr>
      <w:r>
        <w:t xml:space="preserve">Establishing </w:t>
      </w:r>
      <w:r w:rsidR="00786F2B" w:rsidRPr="00786F2B">
        <w:t xml:space="preserve">standards-based </w:t>
      </w:r>
      <w:r w:rsidR="006B1CC0">
        <w:t xml:space="preserve">systems and methodologies </w:t>
      </w:r>
      <w:r w:rsidR="00786F2B" w:rsidRPr="00786F2B">
        <w:t xml:space="preserve">which capture the definition of individual </w:t>
      </w:r>
      <w:hyperlink r:id="rId6" w:tooltip="Business reporting" w:history="1">
        <w:r w:rsidR="00786F2B" w:rsidRPr="007C2FD0">
          <w:rPr>
            <w:rStyle w:val="Kpr"/>
            <w:color w:val="auto"/>
            <w:u w:val="none"/>
          </w:rPr>
          <w:t>reporting</w:t>
        </w:r>
      </w:hyperlink>
      <w:r w:rsidR="00786F2B" w:rsidRPr="00786F2B">
        <w:t xml:space="preserve"> concepts as well as the relationships between concepts and other </w:t>
      </w:r>
      <w:hyperlink r:id="rId7" w:tooltip="Semantic" w:history="1">
        <w:r w:rsidR="00786F2B" w:rsidRPr="007C2FD0">
          <w:rPr>
            <w:rStyle w:val="Kpr"/>
            <w:color w:val="auto"/>
            <w:u w:val="none"/>
          </w:rPr>
          <w:t>semantic</w:t>
        </w:r>
      </w:hyperlink>
      <w:r w:rsidR="00786F2B" w:rsidRPr="00786F2B">
        <w:t xml:space="preserve"> meaning as </w:t>
      </w:r>
      <w:proofErr w:type="spellStart"/>
      <w:r w:rsidR="00786F2B" w:rsidRPr="00786F2B">
        <w:t>eXtensible</w:t>
      </w:r>
      <w:proofErr w:type="spellEnd"/>
      <w:r w:rsidR="00786F2B" w:rsidRPr="00786F2B">
        <w:t xml:space="preserve"> Business Reporting Language (XBRL) and Electronic Data-Gathering, Analysis and Retrieval (EDGAR)</w:t>
      </w:r>
      <w:r w:rsidR="00786F2B">
        <w:t>.</w:t>
      </w:r>
    </w:p>
    <w:p w:rsidR="00BF31B3" w:rsidRDefault="00BF31B3" w:rsidP="00BF31B3">
      <w:pPr>
        <w:spacing w:line="240" w:lineRule="auto"/>
        <w:jc w:val="both"/>
      </w:pPr>
      <w:r>
        <w:lastRenderedPageBreak/>
        <w:t xml:space="preserve">Keeping in view the objectives mentioned above, the emphasis of the mandate will be: </w:t>
      </w:r>
    </w:p>
    <w:p w:rsidR="007C2FD0" w:rsidRDefault="00BF31B3" w:rsidP="00BF31B3">
      <w:pPr>
        <w:pStyle w:val="ListeParagraf"/>
        <w:numPr>
          <w:ilvl w:val="0"/>
          <w:numId w:val="6"/>
        </w:numPr>
        <w:spacing w:line="240" w:lineRule="auto"/>
        <w:jc w:val="both"/>
      </w:pPr>
      <w:r>
        <w:t>to assist the members of the COMCEC Capital Markets Regulators Forum understand different practices and regulations concerning transparency and disclosure requirements in place in member jurisdictions;</w:t>
      </w:r>
    </w:p>
    <w:p w:rsidR="007C2FD0" w:rsidRDefault="00BF31B3" w:rsidP="00BF31B3">
      <w:pPr>
        <w:pStyle w:val="ListeParagraf"/>
        <w:numPr>
          <w:ilvl w:val="0"/>
          <w:numId w:val="6"/>
        </w:numPr>
        <w:spacing w:line="240" w:lineRule="auto"/>
        <w:jc w:val="both"/>
      </w:pPr>
      <w:r>
        <w:t>to identify useful regulatory elements that could be adopted by members, that may intend to improve their regulatory frameworks and different approaches used by members keeping in to account the evolving technological spectrum and how it effects or aids transparency and disclosure requirements as well as requirements for confidentiality; and</w:t>
      </w:r>
    </w:p>
    <w:p w:rsidR="00BF31B3" w:rsidRDefault="00BF31B3" w:rsidP="00BF31B3">
      <w:pPr>
        <w:pStyle w:val="ListeParagraf"/>
        <w:numPr>
          <w:ilvl w:val="0"/>
          <w:numId w:val="6"/>
        </w:numPr>
        <w:spacing w:line="240" w:lineRule="auto"/>
        <w:jc w:val="both"/>
      </w:pPr>
      <w:r>
        <w:t xml:space="preserve">to develop recommendations or best practices for appropriate disclosure requirements which will lead to enhanced investor protection and access to all relevant information for the general public. </w:t>
      </w:r>
    </w:p>
    <w:p w:rsidR="00BF31B3" w:rsidRDefault="00BF31B3" w:rsidP="00BF31B3">
      <w:pPr>
        <w:spacing w:line="240" w:lineRule="auto"/>
        <w:jc w:val="both"/>
      </w:pPr>
      <w:r>
        <w:t>The focus will be on development of a harmonized regulatory framework for COMCEC member countries which will facilitate regional financial integration and development of appropriate disclosure and reporting standards amongst COMCEC member states.</w:t>
      </w:r>
    </w:p>
    <w:p w:rsidR="00E67ED6" w:rsidRDefault="00E67ED6" w:rsidP="00E67ED6">
      <w:pPr>
        <w:spacing w:line="240" w:lineRule="auto"/>
        <w:jc w:val="both"/>
        <w:rPr>
          <w:b/>
        </w:rPr>
      </w:pPr>
      <w:r>
        <w:rPr>
          <w:b/>
        </w:rPr>
        <w:t>Intended Approach</w:t>
      </w:r>
    </w:p>
    <w:p w:rsidR="00E67ED6" w:rsidRDefault="00E67ED6" w:rsidP="00E67ED6">
      <w:pPr>
        <w:spacing w:line="240" w:lineRule="auto"/>
        <w:jc w:val="both"/>
      </w:pPr>
      <w:r>
        <w:t xml:space="preserve">To carry out the mandate, the </w:t>
      </w:r>
      <w:proofErr w:type="spellStart"/>
      <w:r>
        <w:t>ToR</w:t>
      </w:r>
      <w:proofErr w:type="spellEnd"/>
      <w:r>
        <w:t xml:space="preserve"> will be shared with all members and placed on the COMCEC CMR website. The team will be led by the Chair of the Task Force and supported by the Vice-Chair on all deliverables. All coordination aspects of the task force will be managed by the Chair of the Task Force with the assistance of the Capital Market Regulatory Forum Secretariat. </w:t>
      </w:r>
    </w:p>
    <w:p w:rsidR="00E67ED6" w:rsidRDefault="00E67ED6" w:rsidP="00E67ED6">
      <w:pPr>
        <w:spacing w:line="240" w:lineRule="auto"/>
        <w:jc w:val="both"/>
      </w:pPr>
      <w:r>
        <w:t>A survey questionnaire will be created by the task force. After analyzing the information provided by the members responding to the survey, the task</w:t>
      </w:r>
      <w:bookmarkStart w:id="0" w:name="_GoBack"/>
      <w:bookmarkEnd w:id="0"/>
      <w:r>
        <w:t xml:space="preserve"> force will produce a comprehensive report providing analysis and, as appropriate, recommendations for appropriate transparency and disclosure requirements within COMCEC member states.</w:t>
      </w:r>
    </w:p>
    <w:p w:rsidR="00E67ED6" w:rsidRDefault="00E67ED6" w:rsidP="00E67ED6">
      <w:pPr>
        <w:spacing w:line="240" w:lineRule="auto"/>
        <w:jc w:val="both"/>
        <w:rPr>
          <w:b/>
        </w:rPr>
      </w:pPr>
      <w:r>
        <w:rPr>
          <w:b/>
        </w:rPr>
        <w:t>Timeline</w:t>
      </w:r>
    </w:p>
    <w:tbl>
      <w:tblPr>
        <w:tblStyle w:val="OrtaGlgeleme1-Vurgu1"/>
        <w:tblW w:w="0" w:type="auto"/>
        <w:tblLook w:val="04A0" w:firstRow="1" w:lastRow="0" w:firstColumn="1" w:lastColumn="0" w:noHBand="0" w:noVBand="1"/>
      </w:tblPr>
      <w:tblGrid>
        <w:gridCol w:w="4338"/>
        <w:gridCol w:w="2469"/>
        <w:gridCol w:w="2769"/>
      </w:tblGrid>
      <w:tr w:rsidR="00E67ED6" w:rsidTr="00E67ED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38" w:type="dxa"/>
            <w:hideMark/>
          </w:tcPr>
          <w:p w:rsidR="00E67ED6" w:rsidRDefault="00E67ED6">
            <w:pPr>
              <w:jc w:val="both"/>
            </w:pPr>
            <w:r>
              <w:t>Deliverables</w:t>
            </w:r>
          </w:p>
        </w:tc>
        <w:tc>
          <w:tcPr>
            <w:tcW w:w="2469" w:type="dxa"/>
            <w:hideMark/>
          </w:tcPr>
          <w:p w:rsidR="00E67ED6" w:rsidRDefault="00E67ED6">
            <w:pPr>
              <w:cnfStyle w:val="100000000000" w:firstRow="1" w:lastRow="0" w:firstColumn="0" w:lastColumn="0" w:oddVBand="0" w:evenVBand="0" w:oddHBand="0" w:evenHBand="0" w:firstRowFirstColumn="0" w:firstRowLastColumn="0" w:lastRowFirstColumn="0" w:lastRowLastColumn="0"/>
            </w:pPr>
            <w:r>
              <w:t>Date</w:t>
            </w:r>
          </w:p>
        </w:tc>
        <w:tc>
          <w:tcPr>
            <w:tcW w:w="2769" w:type="dxa"/>
            <w:hideMark/>
          </w:tcPr>
          <w:p w:rsidR="00E67ED6" w:rsidRDefault="00E67ED6">
            <w:pPr>
              <w:cnfStyle w:val="100000000000" w:firstRow="1" w:lastRow="0" w:firstColumn="0" w:lastColumn="0" w:oddVBand="0" w:evenVBand="0" w:oddHBand="0" w:evenHBand="0" w:firstRowFirstColumn="0" w:firstRowLastColumn="0" w:lastRowFirstColumn="0" w:lastRowLastColumn="0"/>
            </w:pPr>
            <w:r>
              <w:t>Responsibility</w:t>
            </w:r>
          </w:p>
        </w:tc>
      </w:tr>
      <w:tr w:rsidR="00E67ED6" w:rsidTr="00E67E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38" w:type="dxa"/>
            <w:tcBorders>
              <w:top w:val="single" w:sz="8" w:space="0" w:color="7BA0CD" w:themeColor="accent1" w:themeTint="BF"/>
              <w:left w:val="single" w:sz="8" w:space="0" w:color="7BA0CD" w:themeColor="accent1" w:themeTint="BF"/>
              <w:bottom w:val="single" w:sz="8" w:space="0" w:color="7BA0CD" w:themeColor="accent1" w:themeTint="BF"/>
            </w:tcBorders>
            <w:hideMark/>
          </w:tcPr>
          <w:p w:rsidR="00E67ED6" w:rsidRDefault="00E67ED6">
            <w:pPr>
              <w:jc w:val="both"/>
            </w:pPr>
            <w:r>
              <w:t>Development and Approval of Terms of Reference for the mandate</w:t>
            </w:r>
          </w:p>
        </w:tc>
        <w:tc>
          <w:tcPr>
            <w:tcW w:w="2469" w:type="dxa"/>
            <w:tcBorders>
              <w:top w:val="single" w:sz="8" w:space="0" w:color="7BA0CD" w:themeColor="accent1" w:themeTint="BF"/>
              <w:bottom w:val="single" w:sz="8" w:space="0" w:color="7BA0CD" w:themeColor="accent1" w:themeTint="BF"/>
            </w:tcBorders>
            <w:hideMark/>
          </w:tcPr>
          <w:p w:rsidR="00E67ED6" w:rsidRDefault="00D56CF4">
            <w:pPr>
              <w:cnfStyle w:val="000000100000" w:firstRow="0" w:lastRow="0" w:firstColumn="0" w:lastColumn="0" w:oddVBand="0" w:evenVBand="0" w:oddHBand="1" w:evenHBand="0" w:firstRowFirstColumn="0" w:firstRowLastColumn="0" w:lastRowFirstColumn="0" w:lastRowLastColumn="0"/>
              <w:rPr>
                <w:b/>
              </w:rPr>
            </w:pPr>
            <w:r>
              <w:rPr>
                <w:b/>
              </w:rPr>
              <w:t>July</w:t>
            </w:r>
            <w:r w:rsidR="00E67ED6">
              <w:rPr>
                <w:b/>
              </w:rPr>
              <w:t xml:space="preserve"> 2013</w:t>
            </w:r>
          </w:p>
        </w:tc>
        <w:tc>
          <w:tcPr>
            <w:tcW w:w="2769" w:type="dxa"/>
            <w:tcBorders>
              <w:top w:val="single" w:sz="8" w:space="0" w:color="7BA0CD" w:themeColor="accent1" w:themeTint="BF"/>
              <w:bottom w:val="single" w:sz="8" w:space="0" w:color="7BA0CD" w:themeColor="accent1" w:themeTint="BF"/>
              <w:right w:val="single" w:sz="8" w:space="0" w:color="7BA0CD" w:themeColor="accent1" w:themeTint="BF"/>
            </w:tcBorders>
            <w:hideMark/>
          </w:tcPr>
          <w:p w:rsidR="00E67ED6" w:rsidRDefault="00E67ED6">
            <w:pPr>
              <w:jc w:val="both"/>
              <w:cnfStyle w:val="000000100000" w:firstRow="0" w:lastRow="0" w:firstColumn="0" w:lastColumn="0" w:oddVBand="0" w:evenVBand="0" w:oddHBand="1" w:evenHBand="0" w:firstRowFirstColumn="0" w:firstRowLastColumn="0" w:lastRowFirstColumn="0" w:lastRowLastColumn="0"/>
              <w:rPr>
                <w:b/>
              </w:rPr>
            </w:pPr>
            <w:r>
              <w:rPr>
                <w:b/>
              </w:rPr>
              <w:t>SEC Pakistan and SEO Iran</w:t>
            </w:r>
          </w:p>
        </w:tc>
      </w:tr>
      <w:tr w:rsidR="00E67ED6" w:rsidTr="00E67E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38" w:type="dxa"/>
            <w:tcBorders>
              <w:top w:val="single" w:sz="8" w:space="0" w:color="7BA0CD" w:themeColor="accent1" w:themeTint="BF"/>
              <w:left w:val="single" w:sz="8" w:space="0" w:color="7BA0CD" w:themeColor="accent1" w:themeTint="BF"/>
              <w:bottom w:val="single" w:sz="8" w:space="0" w:color="7BA0CD" w:themeColor="accent1" w:themeTint="BF"/>
            </w:tcBorders>
            <w:hideMark/>
          </w:tcPr>
          <w:p w:rsidR="00E67ED6" w:rsidRDefault="00E67ED6">
            <w:pPr>
              <w:jc w:val="both"/>
            </w:pPr>
            <w:r>
              <w:t xml:space="preserve">Development of Survey Questionnaire </w:t>
            </w:r>
          </w:p>
        </w:tc>
        <w:tc>
          <w:tcPr>
            <w:tcW w:w="2469" w:type="dxa"/>
            <w:tcBorders>
              <w:top w:val="single" w:sz="8" w:space="0" w:color="7BA0CD" w:themeColor="accent1" w:themeTint="BF"/>
              <w:bottom w:val="single" w:sz="8" w:space="0" w:color="7BA0CD" w:themeColor="accent1" w:themeTint="BF"/>
            </w:tcBorders>
            <w:hideMark/>
          </w:tcPr>
          <w:p w:rsidR="00E67ED6" w:rsidRDefault="004F5E2B" w:rsidP="00D56CF4">
            <w:pPr>
              <w:cnfStyle w:val="000000010000" w:firstRow="0" w:lastRow="0" w:firstColumn="0" w:lastColumn="0" w:oddVBand="0" w:evenVBand="0" w:oddHBand="0" w:evenHBand="1" w:firstRowFirstColumn="0" w:firstRowLastColumn="0" w:lastRowFirstColumn="0" w:lastRowLastColumn="0"/>
              <w:rPr>
                <w:b/>
              </w:rPr>
            </w:pPr>
            <w:r>
              <w:rPr>
                <w:b/>
              </w:rPr>
              <w:t xml:space="preserve">August </w:t>
            </w:r>
            <w:r w:rsidR="00E67ED6">
              <w:rPr>
                <w:b/>
              </w:rPr>
              <w:t xml:space="preserve"> 2013</w:t>
            </w:r>
          </w:p>
        </w:tc>
        <w:tc>
          <w:tcPr>
            <w:tcW w:w="2769" w:type="dxa"/>
            <w:tcBorders>
              <w:top w:val="single" w:sz="8" w:space="0" w:color="7BA0CD" w:themeColor="accent1" w:themeTint="BF"/>
              <w:bottom w:val="single" w:sz="8" w:space="0" w:color="7BA0CD" w:themeColor="accent1" w:themeTint="BF"/>
              <w:right w:val="single" w:sz="8" w:space="0" w:color="7BA0CD" w:themeColor="accent1" w:themeTint="BF"/>
            </w:tcBorders>
            <w:hideMark/>
          </w:tcPr>
          <w:p w:rsidR="00E67ED6" w:rsidRDefault="004F5E2B">
            <w:pPr>
              <w:jc w:val="both"/>
              <w:cnfStyle w:val="000000010000" w:firstRow="0" w:lastRow="0" w:firstColumn="0" w:lastColumn="0" w:oddVBand="0" w:evenVBand="0" w:oddHBand="0" w:evenHBand="1" w:firstRowFirstColumn="0" w:firstRowLastColumn="0" w:lastRowFirstColumn="0" w:lastRowLastColumn="0"/>
              <w:rPr>
                <w:b/>
              </w:rPr>
            </w:pPr>
            <w:r>
              <w:rPr>
                <w:b/>
              </w:rPr>
              <w:t>SEC Pakistan</w:t>
            </w:r>
          </w:p>
        </w:tc>
      </w:tr>
      <w:tr w:rsidR="00E67ED6" w:rsidTr="00E67E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38" w:type="dxa"/>
            <w:tcBorders>
              <w:top w:val="single" w:sz="8" w:space="0" w:color="7BA0CD" w:themeColor="accent1" w:themeTint="BF"/>
              <w:left w:val="single" w:sz="8" w:space="0" w:color="7BA0CD" w:themeColor="accent1" w:themeTint="BF"/>
              <w:bottom w:val="single" w:sz="8" w:space="0" w:color="7BA0CD" w:themeColor="accent1" w:themeTint="BF"/>
            </w:tcBorders>
            <w:hideMark/>
          </w:tcPr>
          <w:p w:rsidR="00E67ED6" w:rsidRDefault="00E67ED6">
            <w:pPr>
              <w:jc w:val="both"/>
            </w:pPr>
            <w:r>
              <w:t>Deadlines for responses to the Survey Questionnaire</w:t>
            </w:r>
          </w:p>
        </w:tc>
        <w:tc>
          <w:tcPr>
            <w:tcW w:w="2469" w:type="dxa"/>
            <w:tcBorders>
              <w:top w:val="single" w:sz="8" w:space="0" w:color="7BA0CD" w:themeColor="accent1" w:themeTint="BF"/>
              <w:bottom w:val="single" w:sz="8" w:space="0" w:color="7BA0CD" w:themeColor="accent1" w:themeTint="BF"/>
            </w:tcBorders>
            <w:hideMark/>
          </w:tcPr>
          <w:p w:rsidR="00E67ED6" w:rsidRDefault="004F5E2B" w:rsidP="00D56CF4">
            <w:pPr>
              <w:cnfStyle w:val="000000100000" w:firstRow="0" w:lastRow="0" w:firstColumn="0" w:lastColumn="0" w:oddVBand="0" w:evenVBand="0" w:oddHBand="1" w:evenHBand="0" w:firstRowFirstColumn="0" w:firstRowLastColumn="0" w:lastRowFirstColumn="0" w:lastRowLastColumn="0"/>
              <w:rPr>
                <w:b/>
              </w:rPr>
            </w:pPr>
            <w:r>
              <w:rPr>
                <w:b/>
              </w:rPr>
              <w:t xml:space="preserve">September </w:t>
            </w:r>
            <w:r w:rsidR="00E67ED6">
              <w:rPr>
                <w:b/>
              </w:rPr>
              <w:t>2013</w:t>
            </w:r>
          </w:p>
        </w:tc>
        <w:tc>
          <w:tcPr>
            <w:tcW w:w="2769" w:type="dxa"/>
            <w:tcBorders>
              <w:top w:val="single" w:sz="8" w:space="0" w:color="7BA0CD" w:themeColor="accent1" w:themeTint="BF"/>
              <w:bottom w:val="single" w:sz="8" w:space="0" w:color="7BA0CD" w:themeColor="accent1" w:themeTint="BF"/>
              <w:right w:val="single" w:sz="8" w:space="0" w:color="7BA0CD" w:themeColor="accent1" w:themeTint="BF"/>
            </w:tcBorders>
          </w:tcPr>
          <w:p w:rsidR="00E67ED6" w:rsidRDefault="00E67ED6">
            <w:pPr>
              <w:jc w:val="both"/>
              <w:cnfStyle w:val="000000100000" w:firstRow="0" w:lastRow="0" w:firstColumn="0" w:lastColumn="0" w:oddVBand="0" w:evenVBand="0" w:oddHBand="1" w:evenHBand="0" w:firstRowFirstColumn="0" w:firstRowLastColumn="0" w:lastRowFirstColumn="0" w:lastRowLastColumn="0"/>
              <w:rPr>
                <w:b/>
              </w:rPr>
            </w:pPr>
          </w:p>
        </w:tc>
      </w:tr>
      <w:tr w:rsidR="004F5E2B" w:rsidTr="00E67E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38" w:type="dxa"/>
            <w:tcBorders>
              <w:top w:val="single" w:sz="8" w:space="0" w:color="7BA0CD" w:themeColor="accent1" w:themeTint="BF"/>
              <w:left w:val="single" w:sz="8" w:space="0" w:color="7BA0CD" w:themeColor="accent1" w:themeTint="BF"/>
              <w:bottom w:val="single" w:sz="8" w:space="0" w:color="7BA0CD" w:themeColor="accent1" w:themeTint="BF"/>
            </w:tcBorders>
          </w:tcPr>
          <w:p w:rsidR="004F5E2B" w:rsidRDefault="004F5E2B">
            <w:pPr>
              <w:jc w:val="both"/>
            </w:pPr>
            <w:r>
              <w:t>Structure of Report</w:t>
            </w:r>
          </w:p>
        </w:tc>
        <w:tc>
          <w:tcPr>
            <w:tcW w:w="2469" w:type="dxa"/>
            <w:tcBorders>
              <w:top w:val="single" w:sz="8" w:space="0" w:color="7BA0CD" w:themeColor="accent1" w:themeTint="BF"/>
              <w:bottom w:val="single" w:sz="8" w:space="0" w:color="7BA0CD" w:themeColor="accent1" w:themeTint="BF"/>
            </w:tcBorders>
          </w:tcPr>
          <w:p w:rsidR="004F5E2B" w:rsidRDefault="004F5E2B" w:rsidP="00D56CF4">
            <w:pPr>
              <w:cnfStyle w:val="000000010000" w:firstRow="0" w:lastRow="0" w:firstColumn="0" w:lastColumn="0" w:oddVBand="0" w:evenVBand="0" w:oddHBand="0" w:evenHBand="1" w:firstRowFirstColumn="0" w:firstRowLastColumn="0" w:lastRowFirstColumn="0" w:lastRowLastColumn="0"/>
              <w:rPr>
                <w:b/>
              </w:rPr>
            </w:pPr>
            <w:r>
              <w:rPr>
                <w:b/>
              </w:rPr>
              <w:t>September 2013</w:t>
            </w:r>
          </w:p>
        </w:tc>
        <w:tc>
          <w:tcPr>
            <w:tcW w:w="2769" w:type="dxa"/>
            <w:tcBorders>
              <w:top w:val="single" w:sz="8" w:space="0" w:color="7BA0CD" w:themeColor="accent1" w:themeTint="BF"/>
              <w:bottom w:val="single" w:sz="8" w:space="0" w:color="7BA0CD" w:themeColor="accent1" w:themeTint="BF"/>
              <w:right w:val="single" w:sz="8" w:space="0" w:color="7BA0CD" w:themeColor="accent1" w:themeTint="BF"/>
            </w:tcBorders>
          </w:tcPr>
          <w:p w:rsidR="004F5E2B" w:rsidRDefault="004F5E2B">
            <w:pPr>
              <w:jc w:val="both"/>
              <w:cnfStyle w:val="000000010000" w:firstRow="0" w:lastRow="0" w:firstColumn="0" w:lastColumn="0" w:oddVBand="0" w:evenVBand="0" w:oddHBand="0" w:evenHBand="1" w:firstRowFirstColumn="0" w:firstRowLastColumn="0" w:lastRowFirstColumn="0" w:lastRowLastColumn="0"/>
              <w:rPr>
                <w:b/>
              </w:rPr>
            </w:pPr>
            <w:r>
              <w:rPr>
                <w:b/>
              </w:rPr>
              <w:t>SEC Pakistan</w:t>
            </w:r>
          </w:p>
        </w:tc>
      </w:tr>
      <w:tr w:rsidR="00E67ED6" w:rsidTr="00E67E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38" w:type="dxa"/>
            <w:tcBorders>
              <w:top w:val="single" w:sz="8" w:space="0" w:color="7BA0CD" w:themeColor="accent1" w:themeTint="BF"/>
              <w:left w:val="single" w:sz="8" w:space="0" w:color="7BA0CD" w:themeColor="accent1" w:themeTint="BF"/>
              <w:bottom w:val="single" w:sz="8" w:space="0" w:color="7BA0CD" w:themeColor="accent1" w:themeTint="BF"/>
            </w:tcBorders>
            <w:hideMark/>
          </w:tcPr>
          <w:p w:rsidR="00E67ED6" w:rsidRDefault="00E67ED6">
            <w:pPr>
              <w:jc w:val="both"/>
            </w:pPr>
            <w:r>
              <w:t xml:space="preserve">Analysis of responses </w:t>
            </w:r>
          </w:p>
        </w:tc>
        <w:tc>
          <w:tcPr>
            <w:tcW w:w="2469" w:type="dxa"/>
            <w:tcBorders>
              <w:top w:val="single" w:sz="8" w:space="0" w:color="7BA0CD" w:themeColor="accent1" w:themeTint="BF"/>
              <w:bottom w:val="single" w:sz="8" w:space="0" w:color="7BA0CD" w:themeColor="accent1" w:themeTint="BF"/>
            </w:tcBorders>
            <w:hideMark/>
          </w:tcPr>
          <w:p w:rsidR="00E67ED6" w:rsidRDefault="004F5E2B">
            <w:pPr>
              <w:cnfStyle w:val="000000100000" w:firstRow="0" w:lastRow="0" w:firstColumn="0" w:lastColumn="0" w:oddVBand="0" w:evenVBand="0" w:oddHBand="1" w:evenHBand="0" w:firstRowFirstColumn="0" w:firstRowLastColumn="0" w:lastRowFirstColumn="0" w:lastRowLastColumn="0"/>
              <w:rPr>
                <w:b/>
              </w:rPr>
            </w:pPr>
            <w:r>
              <w:rPr>
                <w:b/>
              </w:rPr>
              <w:t>October 2013</w:t>
            </w:r>
          </w:p>
        </w:tc>
        <w:tc>
          <w:tcPr>
            <w:tcW w:w="2769" w:type="dxa"/>
            <w:tcBorders>
              <w:top w:val="single" w:sz="8" w:space="0" w:color="7BA0CD" w:themeColor="accent1" w:themeTint="BF"/>
              <w:bottom w:val="single" w:sz="8" w:space="0" w:color="7BA0CD" w:themeColor="accent1" w:themeTint="BF"/>
              <w:right w:val="single" w:sz="8" w:space="0" w:color="7BA0CD" w:themeColor="accent1" w:themeTint="BF"/>
            </w:tcBorders>
            <w:hideMark/>
          </w:tcPr>
          <w:p w:rsidR="00E67ED6" w:rsidRDefault="004F5E2B">
            <w:pPr>
              <w:jc w:val="both"/>
              <w:cnfStyle w:val="000000100000" w:firstRow="0" w:lastRow="0" w:firstColumn="0" w:lastColumn="0" w:oddVBand="0" w:evenVBand="0" w:oddHBand="1" w:evenHBand="0" w:firstRowFirstColumn="0" w:firstRowLastColumn="0" w:lastRowFirstColumn="0" w:lastRowLastColumn="0"/>
              <w:rPr>
                <w:b/>
              </w:rPr>
            </w:pPr>
            <w:r>
              <w:rPr>
                <w:b/>
              </w:rPr>
              <w:t>SEC Pakistan and SEO Iran</w:t>
            </w:r>
          </w:p>
        </w:tc>
      </w:tr>
      <w:tr w:rsidR="00E67ED6" w:rsidTr="00E67ED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38" w:type="dxa"/>
            <w:tcBorders>
              <w:top w:val="single" w:sz="8" w:space="0" w:color="7BA0CD" w:themeColor="accent1" w:themeTint="BF"/>
              <w:left w:val="single" w:sz="8" w:space="0" w:color="7BA0CD" w:themeColor="accent1" w:themeTint="BF"/>
              <w:bottom w:val="single" w:sz="8" w:space="0" w:color="7BA0CD" w:themeColor="accent1" w:themeTint="BF"/>
            </w:tcBorders>
            <w:hideMark/>
          </w:tcPr>
          <w:p w:rsidR="00E67ED6" w:rsidRDefault="00E67ED6">
            <w:pPr>
              <w:jc w:val="both"/>
            </w:pPr>
            <w:r>
              <w:t>Finalization of Report</w:t>
            </w:r>
          </w:p>
        </w:tc>
        <w:tc>
          <w:tcPr>
            <w:tcW w:w="2469" w:type="dxa"/>
            <w:tcBorders>
              <w:top w:val="single" w:sz="8" w:space="0" w:color="7BA0CD" w:themeColor="accent1" w:themeTint="BF"/>
              <w:bottom w:val="single" w:sz="8" w:space="0" w:color="7BA0CD" w:themeColor="accent1" w:themeTint="BF"/>
            </w:tcBorders>
            <w:hideMark/>
          </w:tcPr>
          <w:p w:rsidR="00E67ED6" w:rsidRDefault="00D56CF4">
            <w:pPr>
              <w:cnfStyle w:val="000000010000" w:firstRow="0" w:lastRow="0" w:firstColumn="0" w:lastColumn="0" w:oddVBand="0" w:evenVBand="0" w:oddHBand="0" w:evenHBand="1" w:firstRowFirstColumn="0" w:firstRowLastColumn="0" w:lastRowFirstColumn="0" w:lastRowLastColumn="0"/>
              <w:rPr>
                <w:b/>
              </w:rPr>
            </w:pPr>
            <w:r>
              <w:rPr>
                <w:b/>
              </w:rPr>
              <w:t>November</w:t>
            </w:r>
            <w:r w:rsidR="00E67ED6">
              <w:rPr>
                <w:b/>
              </w:rPr>
              <w:t xml:space="preserve"> 2013</w:t>
            </w:r>
          </w:p>
        </w:tc>
        <w:tc>
          <w:tcPr>
            <w:tcW w:w="2769" w:type="dxa"/>
            <w:tcBorders>
              <w:top w:val="single" w:sz="8" w:space="0" w:color="7BA0CD" w:themeColor="accent1" w:themeTint="BF"/>
              <w:bottom w:val="single" w:sz="8" w:space="0" w:color="7BA0CD" w:themeColor="accent1" w:themeTint="BF"/>
              <w:right w:val="single" w:sz="8" w:space="0" w:color="7BA0CD" w:themeColor="accent1" w:themeTint="BF"/>
            </w:tcBorders>
            <w:hideMark/>
          </w:tcPr>
          <w:p w:rsidR="00E67ED6" w:rsidRDefault="00E67ED6">
            <w:pPr>
              <w:jc w:val="both"/>
              <w:cnfStyle w:val="000000010000" w:firstRow="0" w:lastRow="0" w:firstColumn="0" w:lastColumn="0" w:oddVBand="0" w:evenVBand="0" w:oddHBand="0" w:evenHBand="1" w:firstRowFirstColumn="0" w:firstRowLastColumn="0" w:lastRowFirstColumn="0" w:lastRowLastColumn="0"/>
              <w:rPr>
                <w:b/>
              </w:rPr>
            </w:pPr>
            <w:r>
              <w:rPr>
                <w:b/>
              </w:rPr>
              <w:t>SEC Pakistan and SEO Iran</w:t>
            </w:r>
          </w:p>
        </w:tc>
      </w:tr>
      <w:tr w:rsidR="00E67ED6" w:rsidTr="00E67E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38" w:type="dxa"/>
            <w:tcBorders>
              <w:top w:val="single" w:sz="8" w:space="0" w:color="7BA0CD" w:themeColor="accent1" w:themeTint="BF"/>
              <w:left w:val="single" w:sz="8" w:space="0" w:color="7BA0CD" w:themeColor="accent1" w:themeTint="BF"/>
              <w:bottom w:val="single" w:sz="8" w:space="0" w:color="7BA0CD" w:themeColor="accent1" w:themeTint="BF"/>
            </w:tcBorders>
            <w:hideMark/>
          </w:tcPr>
          <w:p w:rsidR="00E67ED6" w:rsidRDefault="00E67ED6">
            <w:pPr>
              <w:jc w:val="both"/>
            </w:pPr>
            <w:r>
              <w:t>Creating database for researchers</w:t>
            </w:r>
          </w:p>
        </w:tc>
        <w:tc>
          <w:tcPr>
            <w:tcW w:w="2469" w:type="dxa"/>
            <w:tcBorders>
              <w:top w:val="single" w:sz="8" w:space="0" w:color="7BA0CD" w:themeColor="accent1" w:themeTint="BF"/>
              <w:bottom w:val="single" w:sz="8" w:space="0" w:color="7BA0CD" w:themeColor="accent1" w:themeTint="BF"/>
            </w:tcBorders>
            <w:hideMark/>
          </w:tcPr>
          <w:p w:rsidR="00E67ED6" w:rsidRDefault="00D56CF4">
            <w:pPr>
              <w:cnfStyle w:val="000000100000" w:firstRow="0" w:lastRow="0" w:firstColumn="0" w:lastColumn="0" w:oddVBand="0" w:evenVBand="0" w:oddHBand="1" w:evenHBand="0" w:firstRowFirstColumn="0" w:firstRowLastColumn="0" w:lastRowFirstColumn="0" w:lastRowLastColumn="0"/>
              <w:rPr>
                <w:b/>
              </w:rPr>
            </w:pPr>
            <w:r>
              <w:rPr>
                <w:b/>
              </w:rPr>
              <w:t>November</w:t>
            </w:r>
            <w:r w:rsidR="00E67ED6">
              <w:rPr>
                <w:b/>
              </w:rPr>
              <w:t xml:space="preserve"> 2013</w:t>
            </w:r>
          </w:p>
        </w:tc>
        <w:tc>
          <w:tcPr>
            <w:tcW w:w="2769" w:type="dxa"/>
            <w:tcBorders>
              <w:top w:val="single" w:sz="8" w:space="0" w:color="7BA0CD" w:themeColor="accent1" w:themeTint="BF"/>
              <w:bottom w:val="single" w:sz="8" w:space="0" w:color="7BA0CD" w:themeColor="accent1" w:themeTint="BF"/>
              <w:right w:val="single" w:sz="8" w:space="0" w:color="7BA0CD" w:themeColor="accent1" w:themeTint="BF"/>
            </w:tcBorders>
          </w:tcPr>
          <w:p w:rsidR="00E67ED6" w:rsidRDefault="00E67ED6">
            <w:pPr>
              <w:jc w:val="both"/>
              <w:cnfStyle w:val="000000100000" w:firstRow="0" w:lastRow="0" w:firstColumn="0" w:lastColumn="0" w:oddVBand="0" w:evenVBand="0" w:oddHBand="1" w:evenHBand="0" w:firstRowFirstColumn="0" w:firstRowLastColumn="0" w:lastRowFirstColumn="0" w:lastRowLastColumn="0"/>
              <w:rPr>
                <w:b/>
              </w:rPr>
            </w:pPr>
          </w:p>
        </w:tc>
      </w:tr>
    </w:tbl>
    <w:p w:rsidR="00BF31B3" w:rsidRDefault="00BF31B3" w:rsidP="0001548E">
      <w:pPr>
        <w:rPr>
          <w:b/>
          <w:color w:val="000000"/>
        </w:rPr>
      </w:pPr>
    </w:p>
    <w:p w:rsidR="00E67ED6" w:rsidRPr="00BF31B3" w:rsidRDefault="00E67ED6" w:rsidP="0001548E">
      <w:pPr>
        <w:rPr>
          <w:b/>
          <w:color w:val="000000"/>
        </w:rPr>
      </w:pPr>
    </w:p>
    <w:sectPr w:rsidR="00E67ED6" w:rsidRPr="00BF31B3" w:rsidSect="003C73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9E58D7"/>
    <w:multiLevelType w:val="hybridMultilevel"/>
    <w:tmpl w:val="E49CE2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37305B"/>
    <w:multiLevelType w:val="hybridMultilevel"/>
    <w:tmpl w:val="A44CA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BE30FA"/>
    <w:multiLevelType w:val="hybridMultilevel"/>
    <w:tmpl w:val="49D0FF26"/>
    <w:lvl w:ilvl="0" w:tplc="55F4D8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2421E07"/>
    <w:multiLevelType w:val="hybridMultilevel"/>
    <w:tmpl w:val="61F8E1B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4FE973C4"/>
    <w:multiLevelType w:val="hybridMultilevel"/>
    <w:tmpl w:val="64D0174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71797345"/>
    <w:multiLevelType w:val="hybridMultilevel"/>
    <w:tmpl w:val="F56CCD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2D6"/>
    <w:rsid w:val="0001548E"/>
    <w:rsid w:val="00085D8B"/>
    <w:rsid w:val="001B14E9"/>
    <w:rsid w:val="00354F9B"/>
    <w:rsid w:val="003C73EC"/>
    <w:rsid w:val="00420046"/>
    <w:rsid w:val="004672C9"/>
    <w:rsid w:val="004F5E2B"/>
    <w:rsid w:val="005541BA"/>
    <w:rsid w:val="005B6DB9"/>
    <w:rsid w:val="00605FE3"/>
    <w:rsid w:val="00691DF4"/>
    <w:rsid w:val="006B1CC0"/>
    <w:rsid w:val="006B22D6"/>
    <w:rsid w:val="006E15B5"/>
    <w:rsid w:val="00786F2B"/>
    <w:rsid w:val="007C2571"/>
    <w:rsid w:val="007C2FD0"/>
    <w:rsid w:val="0084268D"/>
    <w:rsid w:val="00861E83"/>
    <w:rsid w:val="009C3CC0"/>
    <w:rsid w:val="009D1599"/>
    <w:rsid w:val="009D16A3"/>
    <w:rsid w:val="00A65D28"/>
    <w:rsid w:val="00AA3AA0"/>
    <w:rsid w:val="00AD397D"/>
    <w:rsid w:val="00B35123"/>
    <w:rsid w:val="00BC3D7D"/>
    <w:rsid w:val="00BC518C"/>
    <w:rsid w:val="00BE0858"/>
    <w:rsid w:val="00BE5383"/>
    <w:rsid w:val="00BF31B3"/>
    <w:rsid w:val="00C5399B"/>
    <w:rsid w:val="00D56CF4"/>
    <w:rsid w:val="00D64F07"/>
    <w:rsid w:val="00D704AC"/>
    <w:rsid w:val="00D81610"/>
    <w:rsid w:val="00DB613A"/>
    <w:rsid w:val="00E67ED6"/>
    <w:rsid w:val="00EB00AE"/>
    <w:rsid w:val="00F6347E"/>
    <w:rsid w:val="00FA3B19"/>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BBCC2D-8285-45B7-A6C9-DD6F47A8E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B22D6"/>
    <w:pPr>
      <w:ind w:left="720"/>
      <w:contextualSpacing/>
    </w:pPr>
  </w:style>
  <w:style w:type="paragraph" w:styleId="BalonMetni">
    <w:name w:val="Balloon Text"/>
    <w:basedOn w:val="Normal"/>
    <w:link w:val="BalonMetniChar"/>
    <w:uiPriority w:val="99"/>
    <w:semiHidden/>
    <w:unhideWhenUsed/>
    <w:rsid w:val="00861E8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61E83"/>
    <w:rPr>
      <w:rFonts w:ascii="Tahoma" w:hAnsi="Tahoma" w:cs="Tahoma"/>
      <w:sz w:val="16"/>
      <w:szCs w:val="16"/>
    </w:rPr>
  </w:style>
  <w:style w:type="character" w:styleId="Kpr">
    <w:name w:val="Hyperlink"/>
    <w:basedOn w:val="VarsaylanParagrafYazTipi"/>
    <w:uiPriority w:val="99"/>
    <w:unhideWhenUsed/>
    <w:rsid w:val="00DB613A"/>
    <w:rPr>
      <w:color w:val="0000FF" w:themeColor="hyperlink"/>
      <w:u w:val="single"/>
    </w:rPr>
  </w:style>
  <w:style w:type="table" w:styleId="OrtaGlgeleme1-Vurgu1">
    <w:name w:val="Medium Shading 1 Accent 1"/>
    <w:basedOn w:val="NormalTablo"/>
    <w:uiPriority w:val="63"/>
    <w:rsid w:val="00E67ED6"/>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AklamaBavurusu">
    <w:name w:val="annotation reference"/>
    <w:basedOn w:val="VarsaylanParagrafYazTipi"/>
    <w:uiPriority w:val="99"/>
    <w:semiHidden/>
    <w:unhideWhenUsed/>
    <w:rsid w:val="00C5399B"/>
    <w:rPr>
      <w:sz w:val="16"/>
      <w:szCs w:val="16"/>
    </w:rPr>
  </w:style>
  <w:style w:type="paragraph" w:styleId="AklamaMetni">
    <w:name w:val="annotation text"/>
    <w:basedOn w:val="Normal"/>
    <w:link w:val="AklamaMetniChar"/>
    <w:uiPriority w:val="99"/>
    <w:semiHidden/>
    <w:unhideWhenUsed/>
    <w:rsid w:val="00C5399B"/>
    <w:pPr>
      <w:spacing w:line="240" w:lineRule="auto"/>
    </w:pPr>
    <w:rPr>
      <w:sz w:val="20"/>
      <w:szCs w:val="20"/>
    </w:rPr>
  </w:style>
  <w:style w:type="character" w:customStyle="1" w:styleId="AklamaMetniChar">
    <w:name w:val="Açıklama Metni Char"/>
    <w:basedOn w:val="VarsaylanParagrafYazTipi"/>
    <w:link w:val="AklamaMetni"/>
    <w:uiPriority w:val="99"/>
    <w:semiHidden/>
    <w:rsid w:val="00C5399B"/>
    <w:rPr>
      <w:sz w:val="20"/>
      <w:szCs w:val="20"/>
    </w:rPr>
  </w:style>
  <w:style w:type="paragraph" w:styleId="AklamaKonusu">
    <w:name w:val="annotation subject"/>
    <w:basedOn w:val="AklamaMetni"/>
    <w:next w:val="AklamaMetni"/>
    <w:link w:val="AklamaKonusuChar"/>
    <w:uiPriority w:val="99"/>
    <w:semiHidden/>
    <w:unhideWhenUsed/>
    <w:rsid w:val="00C5399B"/>
    <w:rPr>
      <w:b/>
      <w:bCs/>
    </w:rPr>
  </w:style>
  <w:style w:type="character" w:customStyle="1" w:styleId="AklamaKonusuChar">
    <w:name w:val="Açıklama Konusu Char"/>
    <w:basedOn w:val="AklamaMetniChar"/>
    <w:link w:val="AklamaKonusu"/>
    <w:uiPriority w:val="99"/>
    <w:semiHidden/>
    <w:rsid w:val="00C5399B"/>
    <w:rPr>
      <w:b/>
      <w:bCs/>
      <w:sz w:val="20"/>
      <w:szCs w:val="20"/>
    </w:rPr>
  </w:style>
  <w:style w:type="paragraph" w:styleId="Dzeltme">
    <w:name w:val="Revision"/>
    <w:hidden/>
    <w:uiPriority w:val="99"/>
    <w:semiHidden/>
    <w:rsid w:val="00AA3AA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1530">
      <w:bodyDiv w:val="1"/>
      <w:marLeft w:val="0"/>
      <w:marRight w:val="0"/>
      <w:marTop w:val="0"/>
      <w:marBottom w:val="0"/>
      <w:divBdr>
        <w:top w:val="none" w:sz="0" w:space="0" w:color="auto"/>
        <w:left w:val="none" w:sz="0" w:space="0" w:color="auto"/>
        <w:bottom w:val="none" w:sz="0" w:space="0" w:color="auto"/>
        <w:right w:val="none" w:sz="0" w:space="0" w:color="auto"/>
      </w:divBdr>
    </w:div>
    <w:div w:id="1263300531">
      <w:bodyDiv w:val="1"/>
      <w:marLeft w:val="0"/>
      <w:marRight w:val="0"/>
      <w:marTop w:val="0"/>
      <w:marBottom w:val="0"/>
      <w:divBdr>
        <w:top w:val="none" w:sz="0" w:space="0" w:color="auto"/>
        <w:left w:val="none" w:sz="0" w:space="0" w:color="auto"/>
        <w:bottom w:val="none" w:sz="0" w:space="0" w:color="auto"/>
        <w:right w:val="none" w:sz="0" w:space="0" w:color="auto"/>
      </w:divBdr>
    </w:div>
    <w:div w:id="1770468436">
      <w:bodyDiv w:val="1"/>
      <w:marLeft w:val="0"/>
      <w:marRight w:val="0"/>
      <w:marTop w:val="0"/>
      <w:marBottom w:val="0"/>
      <w:divBdr>
        <w:top w:val="none" w:sz="0" w:space="0" w:color="auto"/>
        <w:left w:val="none" w:sz="0" w:space="0" w:color="auto"/>
        <w:bottom w:val="none" w:sz="0" w:space="0" w:color="auto"/>
        <w:right w:val="none" w:sz="0" w:space="0" w:color="auto"/>
      </w:divBdr>
    </w:div>
    <w:div w:id="1834952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hyperlink" Target="http://en.wikipedia.org/wiki/Semantic" TargetMode="Externa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en.wikipedia.org/wiki/Business_reporting" TargetMode="Externa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Belge" ma:contentTypeID="0x010100E848FBCBF37F9F4ABEEB31DBA135FD2D" ma:contentTypeVersion="3" ma:contentTypeDescription="Yeni belge oluşturun." ma:contentTypeScope="" ma:versionID="5326815705e604f737f13bc891a812f3">
  <xsd:schema xmlns:xsd="http://www.w3.org/2001/XMLSchema" xmlns:xs="http://www.w3.org/2001/XMLSchema" xmlns:p="http://schemas.microsoft.com/office/2006/metadata/properties" xmlns:ns2="7e77a316-3f4f-4cc2-902d-521d9fb970e3" xmlns:ns3="1f8f9db5-fc09-49aa-ba21-d43139eecf64" xmlns:ns4="e5faa711-3613-413c-a589-70a911a9f16d" targetNamespace="http://schemas.microsoft.com/office/2006/metadata/properties" ma:root="true" ma:fieldsID="e9f28d2b8dc393e2f53894629e9ab6a6" ns2:_="" ns3:_="" ns4:_="">
    <xsd:import namespace="7e77a316-3f4f-4cc2-902d-521d9fb970e3"/>
    <xsd:import namespace="1f8f9db5-fc09-49aa-ba21-d43139eecf64"/>
    <xsd:import namespace="e5faa711-3613-413c-a589-70a911a9f16d"/>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element ref="ns4:MenuBaslig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77a316-3f4f-4cc2-902d-521d9fb970e3" elementFormDefault="qualified">
    <xsd:import namespace="http://schemas.microsoft.com/office/2006/documentManagement/types"/>
    <xsd:import namespace="http://schemas.microsoft.com/office/infopath/2007/PartnerControls"/>
    <xsd:element name="_dlc_DocId" ma:index="8" nillable="true" ma:displayName="Belge Kimliği Değeri" ma:description="Bu öğeye atanan belge kimliğinin değeri." ma:internalName="_dlc_DocId" ma:readOnly="true">
      <xsd:simpleType>
        <xsd:restriction base="dms:Text"/>
      </xsd:simpleType>
    </xsd:element>
    <xsd:element name="_dlc_DocIdUrl" ma:index="9" nillable="true" ma:displayName="Belge Kimliği" ma:description="Bu belgeye yönelik kalıcı bağlantı."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f8f9db5-fc09-49aa-ba21-d43139eecf64" elementFormDefault="qualified">
    <xsd:import namespace="http://schemas.microsoft.com/office/2006/documentManagement/types"/>
    <xsd:import namespace="http://schemas.microsoft.com/office/infopath/2007/PartnerControls"/>
    <xsd:element name="SharedWithUsers" ma:index="11" nillable="true" ma:displayName="Paylaşılanla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faa711-3613-413c-a589-70a911a9f16d" elementFormDefault="qualified">
    <xsd:import namespace="http://schemas.microsoft.com/office/2006/documentManagement/types"/>
    <xsd:import namespace="http://schemas.microsoft.com/office/infopath/2007/PartnerControls"/>
    <xsd:element name="MenuBasligi" ma:index="12" nillable="true" ma:displayName="MenuBasligi" ma:list="{196a4300-a3b4-46bc-84f2-867acf403895}" ma:internalName="MenuBasligi" ma:readOnly="false"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MenuBasligi xmlns="e5faa711-3613-413c-a589-70a911a9f16d">3</MenuBasligi>
    <_dlc_DocId xmlns="7e77a316-3f4f-4cc2-902d-521d9fb970e3">V6D63YJZ62VM-1422857910-14</_dlc_DocId>
    <_dlc_DocIdUrl xmlns="7e77a316-3f4f-4cc2-902d-521d9fb970e3">
      <Url>http://spkportal/sites/sgd/ComcecCMRWebSitesi/_layouts/15/DocIdRedir.aspx?ID=V6D63YJZ62VM-1422857910-14</Url>
      <Description>V6D63YJZ62VM-1422857910-14</Description>
    </_dlc_DocIdUrl>
  </documentManagement>
</p:properties>
</file>

<file path=customXml/itemProps1.xml><?xml version="1.0" encoding="utf-8"?>
<ds:datastoreItem xmlns:ds="http://schemas.openxmlformats.org/officeDocument/2006/customXml" ds:itemID="{48408816-7ED6-41CD-ADE2-87E6FE7B6A44}"/>
</file>

<file path=customXml/itemProps2.xml><?xml version="1.0" encoding="utf-8"?>
<ds:datastoreItem xmlns:ds="http://schemas.openxmlformats.org/officeDocument/2006/customXml" ds:itemID="{B87A7FC8-96A0-46D5-BB6A-52065189A085}"/>
</file>

<file path=customXml/itemProps3.xml><?xml version="1.0" encoding="utf-8"?>
<ds:datastoreItem xmlns:ds="http://schemas.openxmlformats.org/officeDocument/2006/customXml" ds:itemID="{58DCE07B-9E11-4973-8084-EE79EE8F4234}"/>
</file>

<file path=customXml/itemProps4.xml><?xml version="1.0" encoding="utf-8"?>
<ds:datastoreItem xmlns:ds="http://schemas.openxmlformats.org/officeDocument/2006/customXml" ds:itemID="{12DF7007-3C63-4AC5-B5E8-693853A3E747}"/>
</file>

<file path=customXml/itemProps5.xml><?xml version="1.0" encoding="utf-8"?>
<ds:datastoreItem xmlns:ds="http://schemas.openxmlformats.org/officeDocument/2006/customXml" ds:itemID="{2C0599F9-B0DC-4358-8CDF-BA93D571354E}"/>
</file>

<file path=docProps/app.xml><?xml version="1.0" encoding="utf-8"?>
<Properties xmlns="http://schemas.openxmlformats.org/officeDocument/2006/extended-properties" xmlns:vt="http://schemas.openxmlformats.org/officeDocument/2006/docPropsVTypes">
  <Template>Normal</Template>
  <TotalTime>7</TotalTime>
  <Pages>2</Pages>
  <Words>741</Words>
  <Characters>4226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Salman Hayat</dc:creator>
  <cp:lastModifiedBy>Mehmet Orkun ULUGAY</cp:lastModifiedBy>
  <cp:revision>7</cp:revision>
  <dcterms:created xsi:type="dcterms:W3CDTF">2013-06-14T05:41:00Z</dcterms:created>
  <dcterms:modified xsi:type="dcterms:W3CDTF">2013-07-10T08:19:00Z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0x010100E848FBCBF37F9F4ABEEB31DBA135FD2D</vt:lpwstr>
  </property>
  <property fmtid="{D5CDD505-2E9C-101B-9397-08002B2CF9AE}" pid="3" name="_dlc_DocIdItemGuid">
    <vt:lpwstr>f8303c34-d601-49d7-9d81-ffcea012f23a</vt:lpwstr>
  </property>
</Properties>
</file>